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Resumen de la clase o puntos relevantes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Tipos: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Reproductiva- individuo completamente igual al primero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Terapéutica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Genética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Clonación Genética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Pasos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¿Que gen voy a ocupar?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Cortar el gen→ enzimas de restricción; reconocer y cortar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Pegar o insertar el gen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Transfección→  introducción a través de un plásmido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Selección→ seleccionar cuales “aceptaron” el plásmido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Métodos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Antibiótico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Electroforesis en gel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Fluorescencia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Citometría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ELISA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etc…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Restriction site→  donde la enzima de restricción corta y pega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Promotor→ secuencia particular que promueve la iniciación de transcripción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Marcador de selección→ gen artificial que ayuda la selección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__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Clonación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↳ es parte de la biología sintética, ingresar un gen de otro organismo para crear uno nuevo.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__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Biobrick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ej: promotor- sensing region- RFP- terminator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__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Fitogelatinas: Si se adhieren a metales pesados estos no se ven dañados, hacen los metales “menos tóxicos”. Entonces en este caso lo ocupan para que se pueda fijar en el metal (Mn).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FAST= marcador fluorescente para proteína, es una proteína que se una a la otra proteína y hace que se ilumine.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Evaluación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¿Les gustó la clase?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¿Qué es lo que más les gustó?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Los “profesores” estan super dispuestos a responder cualquier pregunta y explicar las veces que sea necesario un tema  y todo esto lo hacen a un nivel que es entendible para un estudiante de colegio.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¿Qué se puede mejorar?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Temas de interés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Nano science</w:t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  <w:t xml:space="preserve">Riboswitch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